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27.07.2023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404-88/2023-ИИИ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91/19), наручилац доноси Одлуку о обустави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404-88/2023-ИИИ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Ф02-0027980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45262700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9.750.000,00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4) - није достављена ниједна понуда односно ниједна пријава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404-88/2023-ИИИ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404-88/2023-ИИИ, 11.07.2023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9.750.000,00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45262700-Адаптација зграда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Ф02-0027980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13.07.2023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27.07.2023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Андријана Антић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завршетка извођења радова од дана увођења у посао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27.07.2023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У року за подношење понуда није достављена ниједна понуда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утврђено постојање сукоба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21" w:name="_Hlk32839505_0"/>
      <w:bookmarkStart w:id="22" w:name="1_0"/>
      <w:bookmarkEnd w:id="22"/>
      <w:r>
        <w:rPr>
          <w:rFonts w:ascii="Calibri" w:eastAsia="Calibri" w:hAnsi="Calibri" w:cs="Calibri"/>
          <w:w w:val="100"/>
        </w:rPr>
        <w:t xml:space="preserve">У року за подношење понуда није достављена ниједна понуда 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