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Opštinska uprava Kladovo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ulica Kralja Aleksandra 35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Kladovo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12.08.2022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404-101/2022-III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Opštinska uprava Kladovo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404-101/2022-III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softvera za sistem zaštite i spasavanja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F02-0027912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72212900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softvera za sistem zaštite i spasavanja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PROTEKTIS D.O.O.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112423643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BULEVAR OSLOBOĐENjA, 118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(VOŽDOVAC)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420.000,00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504.000,00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softvera za sistem zaštite i spasavanja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404-101/2022-III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404-101/2022-III, 18.07.2022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72212900-Usluge izrade raznih softvera i računarskih sistema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Nabavka softvera za sistem zaštite i spasavanja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F02-0027912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20.07.2022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28.07.2022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Dragiša Matasarević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softvera za sistem zaštite i spasavanja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28.07.2022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28.07.2022 12:01:00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PROTEKTIS D.O.O., BULEVAR OSLOBOĐENjA, 118, 11010, BEOGRAD (VOŽDOVAC),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207/2022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20.7.2022. 07:50:53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PROTEKTIS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prijema ispravne i prihvaćene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PROTEKTIS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dana prijema ispravne i prihvaćene 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PROTEKTIS D.O.O.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504.000,00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 ponudi nije bilo nedostataka.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 utvrđen sukob interesa.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PROTEKTIS D.O.O.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420.000,00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blagovremena, odgovarajuća i prihvatljiva.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</w:rPr>
      </w:pPr>
      <w:bookmarkStart w:id="31" w:name="_Hlk32839505_0"/>
      <w:bookmarkStart w:id="32" w:name="1_0"/>
      <w:bookmarkEnd w:id="32"/>
      <w:r>
        <w:rPr>
          <w:rFonts w:ascii="Calibri" w:eastAsia="Calibri" w:hAnsi="Calibri" w:cs="Calibri"/>
        </w:rPr>
        <w:t>Ponuda je blagovremena, odgovarajuća i prihvatljiva.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91/19). U skladu sa čl.151 ZJN  naručilac zadržava pravo da zaključi ugovor i pre isteka roka za zaštitu prava.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