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40FB4FE9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7816C9">
        <w:rPr>
          <w:rFonts w:cs="Arial"/>
          <w:b/>
        </w:rPr>
        <w:t>10</w:t>
      </w:r>
      <w:r>
        <w:rPr>
          <w:rFonts w:cs="Arial"/>
          <w:b/>
        </w:rPr>
        <w:t>/202</w:t>
      </w:r>
      <w:r w:rsidR="007816C9">
        <w:rPr>
          <w:rFonts w:cs="Arial"/>
          <w:b/>
        </w:rPr>
        <w:t>5</w:t>
      </w:r>
      <w:r w:rsidR="0000662E">
        <w:rPr>
          <w:rFonts w:cs="Arial"/>
          <w:b/>
        </w:rPr>
        <w:t>-III</w:t>
      </w:r>
    </w:p>
    <w:p w14:paraId="4F1A8BC3" w14:textId="74DA7BFD" w:rsidR="00636285" w:rsidRPr="007816C9" w:rsidRDefault="00EC55E2" w:rsidP="001A4316">
      <w:pPr>
        <w:rPr>
          <w:rFonts w:cs="Arial"/>
          <w:lang w:val="sr-Cyrl-RS"/>
        </w:rPr>
      </w:pPr>
      <w:r>
        <w:rPr>
          <w:rFonts w:cs="Arial"/>
          <w:b/>
          <w:lang w:val="sr-Cyrl-RS"/>
        </w:rPr>
        <w:t>По</w:t>
      </w:r>
      <w:r w:rsidR="00D84302">
        <w:rPr>
          <w:rFonts w:cs="Arial"/>
          <w:b/>
          <w:lang w:val="sr-Cyrl-RS"/>
        </w:rPr>
        <w:t xml:space="preserve">јачано одржавање </w:t>
      </w:r>
      <w:r w:rsidR="007816C9">
        <w:rPr>
          <w:rFonts w:cs="Arial"/>
          <w:b/>
          <w:lang w:val="sr-Cyrl-RS"/>
        </w:rPr>
        <w:t>и санација улица са асфалтним коловозним застором у насељу Кладово</w:t>
      </w:r>
      <w:bookmarkStart w:id="1" w:name="_GoBack"/>
      <w:bookmarkEnd w:id="1"/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587F1C"/>
    <w:rsid w:val="00636285"/>
    <w:rsid w:val="00767B5D"/>
    <w:rsid w:val="007816C9"/>
    <w:rsid w:val="00985FD6"/>
    <w:rsid w:val="009B51B7"/>
    <w:rsid w:val="00AC6FB6"/>
    <w:rsid w:val="00C36979"/>
    <w:rsid w:val="00C51F8D"/>
    <w:rsid w:val="00CC4217"/>
    <w:rsid w:val="00D84302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2CC01-C2DE-4C8E-B7DC-DB1CFADDE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10</cp:revision>
  <dcterms:created xsi:type="dcterms:W3CDTF">2024-03-26T06:45:00Z</dcterms:created>
  <dcterms:modified xsi:type="dcterms:W3CDTF">2025-01-28T07:19:00Z</dcterms:modified>
</cp:coreProperties>
</file>