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0195678A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505A3E">
        <w:rPr>
          <w:rFonts w:cs="Arial"/>
          <w:b/>
        </w:rPr>
        <w:t>10</w:t>
      </w:r>
      <w:r w:rsidR="00C16B37">
        <w:rPr>
          <w:rFonts w:cs="Arial"/>
          <w:b/>
        </w:rPr>
        <w:t>2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74892D35" w14:textId="77777777" w:rsidR="00505A3E" w:rsidRPr="00505A3E" w:rsidRDefault="00505A3E" w:rsidP="00505A3E">
      <w:pPr>
        <w:ind w:firstLine="720"/>
        <w:rPr>
          <w:rFonts w:cs="Arial"/>
          <w:b/>
          <w:lang w:val="sr-Latn-RS"/>
        </w:rPr>
      </w:pPr>
      <w:bookmarkStart w:id="2" w:name="_Hlk46816445"/>
      <w:r w:rsidRPr="00505A3E">
        <w:rPr>
          <w:rFonts w:cs="Arial"/>
          <w:b/>
          <w:lang w:val="sr-Cyrl-CS"/>
        </w:rPr>
        <w:t>Санација дела водоводне мреже у делу од излаза из насеља Милутиновац до насеља Вајуга</w:t>
      </w:r>
      <w:bookmarkEnd w:id="2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2C588C"/>
    <w:rsid w:val="00324BE6"/>
    <w:rsid w:val="003663A7"/>
    <w:rsid w:val="00505A3E"/>
    <w:rsid w:val="00587F1C"/>
    <w:rsid w:val="00636285"/>
    <w:rsid w:val="00767B5D"/>
    <w:rsid w:val="00985FD6"/>
    <w:rsid w:val="009B51B7"/>
    <w:rsid w:val="00A01811"/>
    <w:rsid w:val="00AC6FB6"/>
    <w:rsid w:val="00C16B37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53941-D3FB-47CF-9B41-8C016D44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18</cp:revision>
  <dcterms:created xsi:type="dcterms:W3CDTF">2024-03-26T06:45:00Z</dcterms:created>
  <dcterms:modified xsi:type="dcterms:W3CDTF">2024-11-08T08:49:00Z</dcterms:modified>
</cp:coreProperties>
</file>